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CE1" w:rsidRPr="00145FCB" w:rsidRDefault="00581CE1" w:rsidP="00581CE1">
      <w:pPr>
        <w:pStyle w:val="1"/>
        <w:spacing w:before="0" w:beforeAutospacing="0" w:after="0" w:afterAutospacing="0" w:line="360" w:lineRule="auto"/>
        <w:jc w:val="both"/>
        <w:rPr>
          <w:sz w:val="32"/>
          <w:szCs w:val="32"/>
        </w:rPr>
      </w:pPr>
    </w:p>
    <w:p w:rsidR="00581CE1" w:rsidRPr="00145FCB" w:rsidRDefault="00581CE1" w:rsidP="00581CE1">
      <w:pPr>
        <w:pStyle w:val="1"/>
        <w:spacing w:before="0" w:beforeAutospacing="0" w:after="0" w:afterAutospacing="0" w:line="360" w:lineRule="auto"/>
        <w:jc w:val="center"/>
        <w:rPr>
          <w:sz w:val="32"/>
          <w:szCs w:val="32"/>
        </w:rPr>
      </w:pPr>
      <w:r w:rsidRPr="00145FCB">
        <w:rPr>
          <w:sz w:val="32"/>
          <w:szCs w:val="32"/>
        </w:rPr>
        <w:t>ДОКЛАД</w:t>
      </w:r>
    </w:p>
    <w:p w:rsidR="00581CE1" w:rsidRPr="00145FCB" w:rsidRDefault="007C091C" w:rsidP="00581CE1">
      <w:pPr>
        <w:pStyle w:val="1"/>
        <w:spacing w:before="0" w:beforeAutospacing="0" w:after="0" w:afterAutospacing="0" w:line="360" w:lineRule="auto"/>
        <w:jc w:val="center"/>
        <w:rPr>
          <w:sz w:val="32"/>
          <w:szCs w:val="32"/>
        </w:rPr>
      </w:pPr>
      <w:r>
        <w:rPr>
          <w:sz w:val="32"/>
          <w:szCs w:val="32"/>
        </w:rPr>
        <w:t>Вице-п</w:t>
      </w:r>
      <w:r w:rsidR="00581CE1" w:rsidRPr="00145FCB">
        <w:rPr>
          <w:sz w:val="32"/>
          <w:szCs w:val="32"/>
        </w:rPr>
        <w:t>резидента Ассоциации «Национальный союз организаций в области обеспечения пожарной безопасности»</w:t>
      </w:r>
    </w:p>
    <w:p w:rsidR="00581CE1" w:rsidRPr="00145FCB" w:rsidRDefault="007C091C" w:rsidP="00581CE1">
      <w:pPr>
        <w:pStyle w:val="1"/>
        <w:spacing w:before="0" w:beforeAutospacing="0" w:after="0" w:afterAutospacing="0" w:line="360" w:lineRule="auto"/>
        <w:jc w:val="center"/>
        <w:rPr>
          <w:sz w:val="32"/>
          <w:szCs w:val="32"/>
        </w:rPr>
      </w:pPr>
      <w:proofErr w:type="spellStart"/>
      <w:r>
        <w:rPr>
          <w:sz w:val="32"/>
          <w:szCs w:val="32"/>
        </w:rPr>
        <w:t>Дайлова</w:t>
      </w:r>
      <w:proofErr w:type="spellEnd"/>
      <w:r>
        <w:rPr>
          <w:sz w:val="32"/>
          <w:szCs w:val="32"/>
        </w:rPr>
        <w:t xml:space="preserve"> Александра Алексеевича</w:t>
      </w:r>
    </w:p>
    <w:p w:rsidR="00581CE1" w:rsidRPr="00145FCB" w:rsidRDefault="00581CE1" w:rsidP="00581CE1">
      <w:pPr>
        <w:pStyle w:val="1"/>
        <w:spacing w:before="0" w:beforeAutospacing="0" w:after="0" w:afterAutospacing="0" w:line="360" w:lineRule="auto"/>
        <w:jc w:val="both"/>
        <w:rPr>
          <w:sz w:val="32"/>
          <w:szCs w:val="32"/>
        </w:rPr>
      </w:pPr>
    </w:p>
    <w:p w:rsidR="00581CE1" w:rsidRPr="00145FCB" w:rsidRDefault="00581CE1" w:rsidP="00581CE1">
      <w:pPr>
        <w:pStyle w:val="1"/>
        <w:spacing w:before="0" w:beforeAutospacing="0" w:after="0" w:afterAutospacing="0" w:line="360" w:lineRule="auto"/>
        <w:jc w:val="right"/>
        <w:rPr>
          <w:sz w:val="32"/>
          <w:szCs w:val="32"/>
        </w:rPr>
      </w:pPr>
    </w:p>
    <w:p w:rsidR="00581CE1" w:rsidRPr="00145FCB" w:rsidRDefault="00581CE1" w:rsidP="00581CE1">
      <w:pPr>
        <w:spacing w:line="360" w:lineRule="auto"/>
        <w:ind w:firstLine="709"/>
        <w:jc w:val="both"/>
        <w:rPr>
          <w:b/>
          <w:bCs/>
          <w:sz w:val="32"/>
          <w:szCs w:val="32"/>
        </w:rPr>
      </w:pPr>
      <w:r w:rsidRPr="00145FCB">
        <w:rPr>
          <w:b/>
          <w:sz w:val="32"/>
          <w:szCs w:val="32"/>
        </w:rPr>
        <w:t xml:space="preserve">Тема: Актуальность принятия Технического регламента Таможенного союза «О требованиях пожарной безопасности к Продукции» и внесения изменений в </w:t>
      </w:r>
      <w:r w:rsidRPr="00145FCB">
        <w:rPr>
          <w:b/>
          <w:bCs/>
          <w:sz w:val="32"/>
          <w:szCs w:val="32"/>
        </w:rPr>
        <w:t>Единый перечень продукции, подлежащей обязательной оценке (подтверждению) соответствия в рамках таможенного союза с выдачей единых документов.</w:t>
      </w:r>
    </w:p>
    <w:p w:rsidR="00581CE1" w:rsidRDefault="00581CE1" w:rsidP="005F7DCC">
      <w:pPr>
        <w:pStyle w:val="a3"/>
        <w:spacing w:before="0" w:beforeAutospacing="0" w:after="0" w:afterAutospacing="0" w:line="360" w:lineRule="auto"/>
        <w:ind w:firstLine="720"/>
        <w:jc w:val="both"/>
        <w:rPr>
          <w:color w:val="339966"/>
          <w:sz w:val="32"/>
          <w:szCs w:val="32"/>
        </w:rPr>
      </w:pPr>
    </w:p>
    <w:p w:rsidR="00324175" w:rsidRDefault="005F7DCC" w:rsidP="005F7DCC">
      <w:pPr>
        <w:pStyle w:val="a3"/>
        <w:spacing w:before="0" w:beforeAutospacing="0" w:after="0" w:afterAutospacing="0" w:line="360" w:lineRule="auto"/>
        <w:ind w:firstLine="720"/>
        <w:jc w:val="both"/>
        <w:rPr>
          <w:sz w:val="32"/>
          <w:szCs w:val="32"/>
        </w:rPr>
      </w:pPr>
      <w:r w:rsidRPr="008F5499">
        <w:rPr>
          <w:sz w:val="32"/>
          <w:szCs w:val="32"/>
        </w:rPr>
        <w:t xml:space="preserve">Действующая в настоящее время европейская система технического регулирования складывалась на протяжении почти сорока лет. Подобную модель страны Таможенного союза планируют внедрить уже </w:t>
      </w:r>
      <w:r w:rsidRPr="008F5499">
        <w:rPr>
          <w:rStyle w:val="a4"/>
          <w:b w:val="0"/>
          <w:sz w:val="32"/>
          <w:szCs w:val="32"/>
        </w:rPr>
        <w:t xml:space="preserve">к началу </w:t>
      </w:r>
      <w:smartTag w:uri="urn:schemas-microsoft-com:office:smarttags" w:element="metricconverter">
        <w:smartTagPr>
          <w:attr w:name="ProductID" w:val="2012 г"/>
        </w:smartTagPr>
        <w:r w:rsidRPr="008F5499">
          <w:rPr>
            <w:rStyle w:val="a4"/>
            <w:b w:val="0"/>
            <w:sz w:val="32"/>
            <w:szCs w:val="32"/>
          </w:rPr>
          <w:t>2012 г</w:t>
        </w:r>
      </w:smartTag>
      <w:r w:rsidRPr="00324175">
        <w:rPr>
          <w:sz w:val="32"/>
          <w:szCs w:val="32"/>
        </w:rPr>
        <w:t>.</w:t>
      </w:r>
      <w:r w:rsidRPr="008F5499">
        <w:rPr>
          <w:sz w:val="32"/>
          <w:szCs w:val="32"/>
        </w:rPr>
        <w:t xml:space="preserve"> Насколько это реально? </w:t>
      </w:r>
    </w:p>
    <w:p w:rsidR="005F7DCC" w:rsidRPr="008F5499" w:rsidRDefault="005F7DCC" w:rsidP="005F7DCC">
      <w:pPr>
        <w:pStyle w:val="a3"/>
        <w:spacing w:before="0" w:beforeAutospacing="0" w:after="0" w:afterAutospacing="0" w:line="360" w:lineRule="auto"/>
        <w:ind w:firstLine="720"/>
        <w:jc w:val="both"/>
        <w:rPr>
          <w:sz w:val="32"/>
          <w:szCs w:val="32"/>
        </w:rPr>
      </w:pPr>
      <w:r w:rsidRPr="008F5499">
        <w:rPr>
          <w:sz w:val="32"/>
          <w:szCs w:val="32"/>
        </w:rPr>
        <w:t xml:space="preserve">В настоящее время в рамках </w:t>
      </w:r>
      <w:proofErr w:type="spellStart"/>
      <w:r w:rsidRPr="008F5499">
        <w:rPr>
          <w:sz w:val="32"/>
          <w:szCs w:val="32"/>
        </w:rPr>
        <w:t>ЕврАзЭС</w:t>
      </w:r>
      <w:proofErr w:type="spellEnd"/>
      <w:r w:rsidRPr="008F5499">
        <w:rPr>
          <w:sz w:val="32"/>
          <w:szCs w:val="32"/>
        </w:rPr>
        <w:t xml:space="preserve"> и Таможенного союза уже есть необходимая правовая база для создания единой системы технического регулирования, а именно приняты следующие документы: </w:t>
      </w:r>
    </w:p>
    <w:p w:rsidR="005F7DCC" w:rsidRPr="008F5499" w:rsidRDefault="005F7DCC" w:rsidP="005F7DCC">
      <w:pPr>
        <w:pStyle w:val="a3"/>
        <w:spacing w:before="0" w:beforeAutospacing="0" w:after="0" w:afterAutospacing="0" w:line="360" w:lineRule="auto"/>
        <w:ind w:firstLine="720"/>
        <w:jc w:val="both"/>
        <w:rPr>
          <w:sz w:val="32"/>
          <w:szCs w:val="32"/>
        </w:rPr>
      </w:pPr>
      <w:r w:rsidRPr="008F5499">
        <w:rPr>
          <w:sz w:val="32"/>
          <w:szCs w:val="32"/>
        </w:rPr>
        <w:t>- соглашение о проведении согласованной политики в области технического регулирования, санитарных и фитосанитарных мер;</w:t>
      </w:r>
    </w:p>
    <w:p w:rsidR="005F7DCC" w:rsidRPr="008F5499" w:rsidRDefault="005F7DCC" w:rsidP="005F7DCC">
      <w:pPr>
        <w:pStyle w:val="a3"/>
        <w:spacing w:before="0" w:beforeAutospacing="0" w:after="0" w:afterAutospacing="0" w:line="360" w:lineRule="auto"/>
        <w:ind w:firstLine="720"/>
        <w:jc w:val="both"/>
        <w:rPr>
          <w:sz w:val="32"/>
          <w:szCs w:val="32"/>
        </w:rPr>
      </w:pPr>
      <w:r w:rsidRPr="008F5499">
        <w:rPr>
          <w:sz w:val="32"/>
          <w:szCs w:val="32"/>
        </w:rPr>
        <w:lastRenderedPageBreak/>
        <w:t>- соглашение об обращении продукции, подлежащей обязательной оценке (подтверждению) соответствия, на таможенной территории Таможенного союза;</w:t>
      </w:r>
    </w:p>
    <w:p w:rsidR="005F7DCC" w:rsidRPr="008F5499" w:rsidRDefault="005F7DCC" w:rsidP="005F7DCC">
      <w:pPr>
        <w:pStyle w:val="a3"/>
        <w:spacing w:before="0" w:beforeAutospacing="0" w:after="0" w:afterAutospacing="0" w:line="360" w:lineRule="auto"/>
        <w:ind w:firstLine="720"/>
        <w:jc w:val="both"/>
        <w:rPr>
          <w:sz w:val="32"/>
          <w:szCs w:val="32"/>
        </w:rPr>
      </w:pPr>
      <w:r w:rsidRPr="008F5499">
        <w:rPr>
          <w:sz w:val="32"/>
          <w:szCs w:val="32"/>
        </w:rPr>
        <w:t>- соглашение о взаимном признании аккредитации органов по сертификации (подтверждению соответствия) и испытательных лабораторий (центров), выполняющих работы по подтверждению соответствия продукции;</w:t>
      </w:r>
    </w:p>
    <w:p w:rsidR="005F7DCC" w:rsidRPr="008F5499" w:rsidRDefault="005F7DCC" w:rsidP="005F7DCC">
      <w:pPr>
        <w:pStyle w:val="a3"/>
        <w:spacing w:before="0" w:beforeAutospacing="0" w:after="0" w:afterAutospacing="0" w:line="360" w:lineRule="auto"/>
        <w:ind w:firstLine="720"/>
        <w:jc w:val="both"/>
        <w:rPr>
          <w:sz w:val="32"/>
          <w:szCs w:val="32"/>
        </w:rPr>
      </w:pPr>
      <w:r w:rsidRPr="008F5499">
        <w:rPr>
          <w:sz w:val="32"/>
          <w:szCs w:val="32"/>
        </w:rPr>
        <w:t xml:space="preserve">- график разработки первоочередных технических регламентов </w:t>
      </w:r>
      <w:proofErr w:type="spellStart"/>
      <w:r w:rsidRPr="008F5499">
        <w:rPr>
          <w:sz w:val="32"/>
          <w:szCs w:val="32"/>
        </w:rPr>
        <w:t>ЕврАзЭС</w:t>
      </w:r>
      <w:proofErr w:type="spellEnd"/>
      <w:r w:rsidRPr="008F5499">
        <w:rPr>
          <w:sz w:val="32"/>
          <w:szCs w:val="32"/>
        </w:rPr>
        <w:t>, который включает в себя разработку 38 технических регламентов;</w:t>
      </w:r>
    </w:p>
    <w:p w:rsidR="005F7DCC" w:rsidRPr="008F5499" w:rsidRDefault="005F7DCC" w:rsidP="005F7DCC">
      <w:pPr>
        <w:pStyle w:val="a3"/>
        <w:spacing w:before="0" w:beforeAutospacing="0" w:after="0" w:afterAutospacing="0" w:line="360" w:lineRule="auto"/>
        <w:ind w:firstLine="720"/>
        <w:jc w:val="both"/>
        <w:rPr>
          <w:sz w:val="32"/>
          <w:szCs w:val="32"/>
        </w:rPr>
      </w:pPr>
      <w:r w:rsidRPr="008F5499">
        <w:rPr>
          <w:sz w:val="32"/>
          <w:szCs w:val="32"/>
        </w:rPr>
        <w:t>- соглашение о единых принципах и правилах технического регулирования.</w:t>
      </w:r>
    </w:p>
    <w:p w:rsidR="005F7DCC" w:rsidRPr="008F5499" w:rsidRDefault="005F7DCC" w:rsidP="005F7DCC">
      <w:pPr>
        <w:pStyle w:val="a3"/>
        <w:spacing w:before="0" w:beforeAutospacing="0" w:after="0" w:afterAutospacing="0" w:line="360" w:lineRule="auto"/>
        <w:ind w:firstLine="720"/>
        <w:jc w:val="both"/>
        <w:rPr>
          <w:sz w:val="32"/>
          <w:szCs w:val="32"/>
        </w:rPr>
      </w:pPr>
      <w:r w:rsidRPr="008F5499">
        <w:rPr>
          <w:sz w:val="32"/>
          <w:szCs w:val="32"/>
        </w:rPr>
        <w:t>- план разработки технических регламентов Таможенного союза, основой которых будут служить национальные технические регламенты, гармонизированные с европейскими требованиями.</w:t>
      </w:r>
    </w:p>
    <w:p w:rsidR="005F7DCC" w:rsidRPr="008F5499" w:rsidRDefault="005F7DCC" w:rsidP="005F7DCC">
      <w:pPr>
        <w:pStyle w:val="a3"/>
        <w:spacing w:before="0" w:beforeAutospacing="0" w:after="0" w:afterAutospacing="0" w:line="360" w:lineRule="auto"/>
        <w:ind w:firstLine="720"/>
        <w:jc w:val="both"/>
        <w:rPr>
          <w:sz w:val="32"/>
          <w:szCs w:val="32"/>
        </w:rPr>
      </w:pPr>
      <w:r w:rsidRPr="008F5499">
        <w:rPr>
          <w:sz w:val="32"/>
          <w:szCs w:val="32"/>
        </w:rPr>
        <w:t>При этом</w:t>
      </w:r>
      <w:proofErr w:type="gramStart"/>
      <w:r w:rsidRPr="008F5499">
        <w:rPr>
          <w:sz w:val="32"/>
          <w:szCs w:val="32"/>
        </w:rPr>
        <w:t>,</w:t>
      </w:r>
      <w:proofErr w:type="gramEnd"/>
      <w:r w:rsidRPr="008F5499">
        <w:rPr>
          <w:sz w:val="32"/>
          <w:szCs w:val="32"/>
        </w:rPr>
        <w:t xml:space="preserve"> чтобы три страны перешли на единые правила и принципы технического регулирования, по мере введения в действие технических регламентов Таможенного союза будут отменяться национальные технические регламенты, объекты регулирования которых совпадают с объектами технических регламентов Таможенного союза, а также будет прекращена разработка национальных регламентов сторон, по которым идет параллельная работа на межгосударственном уровне.</w:t>
      </w:r>
    </w:p>
    <w:p w:rsidR="004477E9" w:rsidRDefault="004477E9" w:rsidP="00324175">
      <w:pPr>
        <w:pStyle w:val="1"/>
        <w:spacing w:before="0" w:beforeAutospacing="0" w:after="0" w:afterAutospacing="0" w:line="360" w:lineRule="auto"/>
        <w:jc w:val="right"/>
        <w:rPr>
          <w:sz w:val="32"/>
          <w:szCs w:val="32"/>
        </w:rPr>
      </w:pPr>
    </w:p>
    <w:p w:rsidR="005F7DCC" w:rsidRPr="00145FCB" w:rsidRDefault="005F7DCC" w:rsidP="005F7DCC">
      <w:pPr>
        <w:pStyle w:val="ConsPlusNormal"/>
        <w:widowControl/>
        <w:spacing w:line="360" w:lineRule="auto"/>
        <w:ind w:firstLine="540"/>
        <w:jc w:val="both"/>
        <w:rPr>
          <w:rFonts w:ascii="Times New Roman" w:hAnsi="Times New Roman" w:cs="Times New Roman"/>
          <w:sz w:val="32"/>
          <w:szCs w:val="32"/>
        </w:rPr>
      </w:pPr>
      <w:r w:rsidRPr="00145FCB">
        <w:rPr>
          <w:rFonts w:ascii="Times New Roman" w:hAnsi="Times New Roman" w:cs="Times New Roman"/>
          <w:sz w:val="32"/>
          <w:szCs w:val="32"/>
        </w:rPr>
        <w:t>Технические регламенты Таможенного союза имеют прямое действие на таможенной территории Таможенного союза.</w:t>
      </w:r>
    </w:p>
    <w:p w:rsidR="005F7DCC" w:rsidRPr="00145FCB" w:rsidRDefault="005F7DCC" w:rsidP="005F7DCC">
      <w:pPr>
        <w:pStyle w:val="ConsPlusNormal"/>
        <w:widowControl/>
        <w:spacing w:line="360" w:lineRule="auto"/>
        <w:ind w:firstLine="540"/>
        <w:jc w:val="both"/>
        <w:rPr>
          <w:rFonts w:ascii="Times New Roman" w:hAnsi="Times New Roman" w:cs="Times New Roman"/>
          <w:sz w:val="32"/>
          <w:szCs w:val="32"/>
        </w:rPr>
      </w:pPr>
      <w:r w:rsidRPr="00145FCB">
        <w:rPr>
          <w:rFonts w:ascii="Times New Roman" w:hAnsi="Times New Roman" w:cs="Times New Roman"/>
          <w:sz w:val="32"/>
          <w:szCs w:val="32"/>
        </w:rPr>
        <w:lastRenderedPageBreak/>
        <w:t>Технические регламенты Таможенного союза разрабатываются только в отношении продукции, включенной в единый перечень, если в отношении такой продукции не приняты технические регламенты Евразийского экономического сообщества.</w:t>
      </w:r>
    </w:p>
    <w:p w:rsidR="005F7DCC" w:rsidRPr="00145FCB" w:rsidRDefault="005F7DCC" w:rsidP="005F7DCC">
      <w:pPr>
        <w:pStyle w:val="a3"/>
        <w:spacing w:before="0" w:beforeAutospacing="0" w:after="0" w:afterAutospacing="0" w:line="360" w:lineRule="auto"/>
        <w:ind w:firstLine="720"/>
        <w:jc w:val="both"/>
        <w:rPr>
          <w:sz w:val="32"/>
          <w:szCs w:val="32"/>
        </w:rPr>
      </w:pPr>
      <w:r w:rsidRPr="00145FCB">
        <w:rPr>
          <w:sz w:val="32"/>
          <w:szCs w:val="32"/>
        </w:rPr>
        <w:t>Технические регламенты Таможенного союза разрабатываются и принимаются в целях обеспечения на таможенной территории Таможенного союза защиты жизни и  здоровья человека, имущества, предупреждения действий, вводящих в заб</w:t>
      </w:r>
      <w:r>
        <w:rPr>
          <w:sz w:val="32"/>
          <w:szCs w:val="32"/>
        </w:rPr>
        <w:t>луждение потребителей.</w:t>
      </w:r>
    </w:p>
    <w:p w:rsidR="005F7DCC" w:rsidRPr="00145FCB" w:rsidRDefault="005F7DCC" w:rsidP="005F7DCC">
      <w:pPr>
        <w:pStyle w:val="ConsPlusNormal"/>
        <w:widowControl/>
        <w:spacing w:line="360" w:lineRule="auto"/>
        <w:ind w:firstLine="540"/>
        <w:jc w:val="both"/>
        <w:rPr>
          <w:rFonts w:ascii="Times New Roman" w:hAnsi="Times New Roman" w:cs="Times New Roman"/>
          <w:sz w:val="32"/>
          <w:szCs w:val="32"/>
        </w:rPr>
      </w:pPr>
      <w:r w:rsidRPr="00145FCB">
        <w:rPr>
          <w:rFonts w:ascii="Times New Roman" w:hAnsi="Times New Roman" w:cs="Times New Roman"/>
          <w:sz w:val="32"/>
          <w:szCs w:val="32"/>
        </w:rPr>
        <w:t>Участники Таможенного союза не допускают установление в своем законодательстве обязательных требований в отношении продукции, не включенной в единый перечень.</w:t>
      </w:r>
    </w:p>
    <w:p w:rsidR="005F7DCC" w:rsidRPr="00145FCB" w:rsidRDefault="005F7DCC" w:rsidP="005F7DCC">
      <w:pPr>
        <w:pStyle w:val="a3"/>
        <w:spacing w:before="0" w:beforeAutospacing="0" w:after="0" w:afterAutospacing="0" w:line="360" w:lineRule="auto"/>
        <w:ind w:firstLine="720"/>
        <w:jc w:val="both"/>
        <w:rPr>
          <w:sz w:val="32"/>
          <w:szCs w:val="32"/>
        </w:rPr>
      </w:pPr>
      <w:proofErr w:type="gramStart"/>
      <w:r w:rsidRPr="00145FCB">
        <w:rPr>
          <w:sz w:val="32"/>
          <w:szCs w:val="32"/>
        </w:rPr>
        <w:t>В технических регламентах Таможенного союза устанавливаются требования к продукции либо к продукции</w:t>
      </w:r>
      <w:r>
        <w:rPr>
          <w:sz w:val="32"/>
          <w:szCs w:val="32"/>
        </w:rPr>
        <w:t>,</w:t>
      </w:r>
      <w:r w:rsidRPr="00145FCB">
        <w:rPr>
          <w:sz w:val="32"/>
          <w:szCs w:val="32"/>
        </w:rPr>
        <w:t xml:space="preserve"> процессам производства, монтажа, наладки, эксплуатации (использования), хранения, перевозки (транспортирования), реализации и утилизации, а также прави</w:t>
      </w:r>
      <w:r>
        <w:rPr>
          <w:sz w:val="32"/>
          <w:szCs w:val="32"/>
        </w:rPr>
        <w:t>ла идентификации, формы, схемы, а также</w:t>
      </w:r>
      <w:r w:rsidRPr="00145FCB">
        <w:rPr>
          <w:sz w:val="32"/>
          <w:szCs w:val="32"/>
        </w:rPr>
        <w:t xml:space="preserve"> проце</w:t>
      </w:r>
      <w:r>
        <w:rPr>
          <w:sz w:val="32"/>
          <w:szCs w:val="32"/>
        </w:rPr>
        <w:t>дуры оценки  и подтверждения</w:t>
      </w:r>
      <w:r w:rsidRPr="00145FCB">
        <w:rPr>
          <w:sz w:val="32"/>
          <w:szCs w:val="32"/>
        </w:rPr>
        <w:t xml:space="preserve"> соответствия.</w:t>
      </w:r>
      <w:proofErr w:type="gramEnd"/>
    </w:p>
    <w:p w:rsidR="005F7DCC" w:rsidRDefault="005F7DCC" w:rsidP="005F7DCC">
      <w:pPr>
        <w:pStyle w:val="a3"/>
        <w:spacing w:before="0" w:beforeAutospacing="0" w:after="0" w:afterAutospacing="0" w:line="360" w:lineRule="auto"/>
        <w:ind w:firstLine="720"/>
        <w:jc w:val="both"/>
        <w:rPr>
          <w:sz w:val="32"/>
          <w:szCs w:val="32"/>
        </w:rPr>
      </w:pPr>
      <w:r w:rsidRPr="00145FCB">
        <w:rPr>
          <w:sz w:val="32"/>
          <w:szCs w:val="32"/>
        </w:rPr>
        <w:t>Необходимо отметить, что со дня вступления в силу технического регламента Таможенного союза на территориях Сторон соответствующие обязательные требования, установленные законодательствами Сторон, не применяются.</w:t>
      </w:r>
    </w:p>
    <w:p w:rsidR="00B652C7" w:rsidRPr="00145FCB" w:rsidRDefault="00B652C7" w:rsidP="00B652C7">
      <w:pPr>
        <w:pStyle w:val="ConsPlusNormal"/>
        <w:widowControl/>
        <w:spacing w:line="360" w:lineRule="auto"/>
        <w:ind w:firstLine="540"/>
        <w:jc w:val="both"/>
        <w:rPr>
          <w:rFonts w:ascii="Times New Roman" w:hAnsi="Times New Roman" w:cs="Times New Roman"/>
          <w:sz w:val="32"/>
          <w:szCs w:val="32"/>
        </w:rPr>
      </w:pPr>
      <w:r w:rsidRPr="00145FCB">
        <w:rPr>
          <w:rFonts w:ascii="Times New Roman" w:hAnsi="Times New Roman" w:cs="Times New Roman"/>
          <w:sz w:val="32"/>
          <w:szCs w:val="32"/>
        </w:rPr>
        <w:t xml:space="preserve">Продукция, в отношении которой принят технический регламент (технические регламенты) Таможенного союза, выпускается в обращение на таможенной территории Таможенного союза при условии, что она прошла необходимые процедуры </w:t>
      </w:r>
      <w:r w:rsidRPr="00145FCB">
        <w:rPr>
          <w:rFonts w:ascii="Times New Roman" w:hAnsi="Times New Roman" w:cs="Times New Roman"/>
          <w:sz w:val="32"/>
          <w:szCs w:val="32"/>
        </w:rPr>
        <w:lastRenderedPageBreak/>
        <w:t>оценки (подтверждения) соответствия, установленные техническим регламентом (техническими регламентами) Таможенного союза.</w:t>
      </w:r>
    </w:p>
    <w:p w:rsidR="005F7DCC" w:rsidRPr="00145FCB" w:rsidRDefault="005F7DCC" w:rsidP="005F7DCC">
      <w:pPr>
        <w:pStyle w:val="ConsPlusNormal"/>
        <w:widowControl/>
        <w:spacing w:line="360" w:lineRule="auto"/>
        <w:ind w:firstLine="540"/>
        <w:jc w:val="both"/>
        <w:rPr>
          <w:rFonts w:ascii="Times New Roman" w:hAnsi="Times New Roman" w:cs="Times New Roman"/>
          <w:sz w:val="32"/>
          <w:szCs w:val="32"/>
        </w:rPr>
      </w:pPr>
      <w:proofErr w:type="gramStart"/>
      <w:r w:rsidRPr="00145FCB">
        <w:rPr>
          <w:rFonts w:ascii="Times New Roman" w:hAnsi="Times New Roman" w:cs="Times New Roman"/>
          <w:sz w:val="32"/>
          <w:szCs w:val="32"/>
        </w:rPr>
        <w:t>Участники Таможенного союза обеспечивают обращение продукции, соответствующей требованиям технических регламентов Таможенного союза, на своей территории без предъявления дополнительных по отношению к содержащимся в техническом регламенте Таможенного союза требований к такой продукции и без проведения дополнительных процедур оценки (подтверждения) соответствия.</w:t>
      </w:r>
      <w:proofErr w:type="gramEnd"/>
    </w:p>
    <w:p w:rsidR="005F7DCC" w:rsidRPr="00145FCB" w:rsidRDefault="005F7DCC" w:rsidP="005F7DCC">
      <w:pPr>
        <w:pStyle w:val="ConsPlusNormal"/>
        <w:widowControl/>
        <w:spacing w:line="360" w:lineRule="auto"/>
        <w:ind w:firstLine="540"/>
        <w:jc w:val="both"/>
        <w:rPr>
          <w:rFonts w:ascii="Times New Roman" w:hAnsi="Times New Roman" w:cs="Times New Roman"/>
          <w:sz w:val="32"/>
          <w:szCs w:val="32"/>
        </w:rPr>
      </w:pPr>
      <w:r w:rsidRPr="00145FCB">
        <w:rPr>
          <w:rFonts w:ascii="Times New Roman" w:hAnsi="Times New Roman" w:cs="Times New Roman"/>
          <w:sz w:val="32"/>
          <w:szCs w:val="32"/>
        </w:rPr>
        <w:t>В целях формирования нормативной правовой базы Таможенного союза в области технического регулирования участники Таможенного союза формируют единый перечень продукции, в отношении которой устанавливаются обязательные требования в рамках Таможенного союза (</w:t>
      </w:r>
      <w:r>
        <w:rPr>
          <w:rFonts w:ascii="Times New Roman" w:hAnsi="Times New Roman" w:cs="Times New Roman"/>
          <w:sz w:val="32"/>
          <w:szCs w:val="32"/>
        </w:rPr>
        <w:t>кратко</w:t>
      </w:r>
      <w:r w:rsidRPr="00145FCB">
        <w:rPr>
          <w:rFonts w:ascii="Times New Roman" w:hAnsi="Times New Roman" w:cs="Times New Roman"/>
          <w:sz w:val="32"/>
          <w:szCs w:val="32"/>
        </w:rPr>
        <w:t xml:space="preserve"> - единый перечень).</w:t>
      </w:r>
    </w:p>
    <w:p w:rsidR="005F7DCC" w:rsidRPr="00145FCB" w:rsidRDefault="005F7DCC" w:rsidP="005F7DCC">
      <w:pPr>
        <w:pStyle w:val="ConsPlusNormal"/>
        <w:widowControl/>
        <w:spacing w:line="360" w:lineRule="auto"/>
        <w:ind w:firstLine="540"/>
        <w:jc w:val="both"/>
        <w:rPr>
          <w:rFonts w:ascii="Times New Roman" w:hAnsi="Times New Roman" w:cs="Times New Roman"/>
          <w:sz w:val="32"/>
          <w:szCs w:val="32"/>
        </w:rPr>
      </w:pPr>
      <w:r w:rsidRPr="00145FCB">
        <w:rPr>
          <w:rFonts w:ascii="Times New Roman" w:hAnsi="Times New Roman" w:cs="Times New Roman"/>
          <w:sz w:val="32"/>
          <w:szCs w:val="32"/>
        </w:rPr>
        <w:t>Для продукции, включенной в единый перечень, в отношении которой не вступили в силу технические регламенты Таможенного союза или технические регламенты Евразийского экономического сообщества, действуют нормы законодательства Таможенного союза и законодательств государств – участников.</w:t>
      </w:r>
    </w:p>
    <w:p w:rsidR="005F7DCC" w:rsidRPr="00145FCB" w:rsidRDefault="005F7DCC" w:rsidP="005F7DCC">
      <w:pPr>
        <w:pStyle w:val="ConsPlusNormal"/>
        <w:widowControl/>
        <w:spacing w:line="360" w:lineRule="auto"/>
        <w:ind w:firstLine="540"/>
        <w:jc w:val="both"/>
        <w:rPr>
          <w:rFonts w:ascii="Times New Roman" w:hAnsi="Times New Roman" w:cs="Times New Roman"/>
          <w:sz w:val="32"/>
          <w:szCs w:val="32"/>
        </w:rPr>
      </w:pPr>
      <w:r w:rsidRPr="00145FCB">
        <w:rPr>
          <w:rFonts w:ascii="Times New Roman" w:hAnsi="Times New Roman" w:cs="Times New Roman"/>
          <w:sz w:val="32"/>
          <w:szCs w:val="32"/>
        </w:rPr>
        <w:t xml:space="preserve">Единый перечень и порядок его ведения </w:t>
      </w:r>
      <w:r>
        <w:rPr>
          <w:rFonts w:ascii="Times New Roman" w:hAnsi="Times New Roman" w:cs="Times New Roman"/>
          <w:sz w:val="32"/>
          <w:szCs w:val="32"/>
        </w:rPr>
        <w:t>утверждены Комиссией Таможенного союза</w:t>
      </w:r>
      <w:r w:rsidRPr="00145FCB">
        <w:rPr>
          <w:rFonts w:ascii="Times New Roman" w:hAnsi="Times New Roman" w:cs="Times New Roman"/>
          <w:sz w:val="32"/>
          <w:szCs w:val="32"/>
        </w:rPr>
        <w:t>.</w:t>
      </w:r>
    </w:p>
    <w:p w:rsidR="005F7DCC" w:rsidRPr="00145FCB" w:rsidRDefault="005F7DCC" w:rsidP="00597FB8">
      <w:pPr>
        <w:pStyle w:val="Default"/>
        <w:spacing w:line="360" w:lineRule="auto"/>
        <w:ind w:firstLine="720"/>
        <w:jc w:val="both"/>
        <w:rPr>
          <w:color w:val="auto"/>
          <w:sz w:val="32"/>
          <w:szCs w:val="32"/>
        </w:rPr>
      </w:pPr>
      <w:proofErr w:type="gramStart"/>
      <w:r w:rsidRPr="00145FCB">
        <w:rPr>
          <w:color w:val="auto"/>
          <w:sz w:val="32"/>
          <w:szCs w:val="32"/>
        </w:rPr>
        <w:t>Выпуск в обращение продукции (товаров) на единую таможенн</w:t>
      </w:r>
      <w:r>
        <w:rPr>
          <w:color w:val="auto"/>
          <w:sz w:val="32"/>
          <w:szCs w:val="32"/>
        </w:rPr>
        <w:t>ую территорию Таможенного союза</w:t>
      </w:r>
      <w:r w:rsidRPr="00145FCB">
        <w:rPr>
          <w:color w:val="auto"/>
          <w:sz w:val="32"/>
          <w:szCs w:val="32"/>
        </w:rPr>
        <w:t xml:space="preserve"> и перемещение партий продукции (товаров) на единой таможенной территории (с территории одной Сторо</w:t>
      </w:r>
      <w:r>
        <w:rPr>
          <w:color w:val="auto"/>
          <w:sz w:val="32"/>
          <w:szCs w:val="32"/>
        </w:rPr>
        <w:t>ны на территорию другой Стороны</w:t>
      </w:r>
      <w:r w:rsidRPr="00145FCB">
        <w:rPr>
          <w:color w:val="auto"/>
          <w:sz w:val="32"/>
          <w:szCs w:val="32"/>
        </w:rPr>
        <w:t xml:space="preserve"> </w:t>
      </w:r>
      <w:r w:rsidRPr="00145FCB">
        <w:rPr>
          <w:color w:val="auto"/>
          <w:sz w:val="32"/>
          <w:szCs w:val="32"/>
        </w:rPr>
        <w:lastRenderedPageBreak/>
        <w:t>допускается при наличии документов, подтверждающих соблюдение установленных для данной продукции обязательных требований.</w:t>
      </w:r>
      <w:proofErr w:type="gramEnd"/>
      <w:r w:rsidRPr="00145FCB">
        <w:rPr>
          <w:color w:val="auto"/>
          <w:sz w:val="32"/>
          <w:szCs w:val="32"/>
        </w:rPr>
        <w:t xml:space="preserve"> Документами, подтверждающими соответствие продукции установленным требованиям при обязательной оценке (подтверждении) соответствия, являются сертификат соответствия (при обязательной сертификации) или декларация о соответствия (при декларировании соответствия). </w:t>
      </w:r>
      <w:proofErr w:type="gramStart"/>
      <w:r w:rsidRPr="00145FCB">
        <w:rPr>
          <w:color w:val="auto"/>
          <w:sz w:val="32"/>
          <w:szCs w:val="32"/>
        </w:rPr>
        <w:t xml:space="preserve">На выпускаемую в обращение продукцию, </w:t>
      </w:r>
      <w:r w:rsidRPr="00145FCB">
        <w:rPr>
          <w:bCs/>
          <w:color w:val="auto"/>
          <w:sz w:val="32"/>
          <w:szCs w:val="32"/>
        </w:rPr>
        <w:t xml:space="preserve">подлежащую обязательной сертификации </w:t>
      </w:r>
      <w:r w:rsidRPr="00145FCB">
        <w:rPr>
          <w:color w:val="auto"/>
          <w:sz w:val="32"/>
          <w:szCs w:val="32"/>
        </w:rPr>
        <w:t>и включенную в Единый перечень продукции, подлежащей обязательной оценке (подтверждению) соответствия в рамках Таможенного союза с выдачей единых документов, изготовители и импортеры вправе получать сертификат соответствия национальной системы подтверждения соответствия Стороны назначения, который будет действовать только на ее территории, либо сертификат соответствия по единой форме, который будет действовать на единой таможенной территории</w:t>
      </w:r>
      <w:proofErr w:type="gramEnd"/>
      <w:r w:rsidRPr="00145FCB">
        <w:rPr>
          <w:color w:val="auto"/>
          <w:sz w:val="32"/>
          <w:szCs w:val="32"/>
        </w:rPr>
        <w:t xml:space="preserve"> Таможенного союза, то есть на территориях всех Сторон. На продукцию, </w:t>
      </w:r>
      <w:r w:rsidRPr="00145FCB">
        <w:rPr>
          <w:bCs/>
          <w:color w:val="auto"/>
          <w:sz w:val="32"/>
          <w:szCs w:val="32"/>
        </w:rPr>
        <w:t>подлежащую обязательной сертификации в соответствии с национальным законодательством Стороны и не включенную в Единый перечень продукции</w:t>
      </w:r>
      <w:r w:rsidRPr="00145FCB">
        <w:rPr>
          <w:color w:val="auto"/>
          <w:sz w:val="32"/>
          <w:szCs w:val="32"/>
        </w:rPr>
        <w:t xml:space="preserve">, изготовители и импортеры обязаны получить сертификат </w:t>
      </w:r>
      <w:proofErr w:type="gramStart"/>
      <w:r w:rsidRPr="00145FCB">
        <w:rPr>
          <w:color w:val="auto"/>
          <w:sz w:val="32"/>
          <w:szCs w:val="32"/>
        </w:rPr>
        <w:t>соответствия национальной системы подтверждения соответствия Стороны назначения</w:t>
      </w:r>
      <w:proofErr w:type="gramEnd"/>
      <w:r w:rsidRPr="00145FCB">
        <w:rPr>
          <w:color w:val="auto"/>
          <w:sz w:val="32"/>
          <w:szCs w:val="32"/>
        </w:rPr>
        <w:t xml:space="preserve">. </w:t>
      </w:r>
    </w:p>
    <w:p w:rsidR="005F7DCC" w:rsidRDefault="005F7DCC" w:rsidP="005F7DCC">
      <w:pPr>
        <w:spacing w:line="360" w:lineRule="auto"/>
        <w:ind w:firstLine="900"/>
        <w:jc w:val="both"/>
        <w:rPr>
          <w:sz w:val="32"/>
          <w:szCs w:val="32"/>
        </w:rPr>
      </w:pPr>
      <w:r w:rsidRPr="00145FCB">
        <w:rPr>
          <w:sz w:val="32"/>
          <w:szCs w:val="32"/>
        </w:rPr>
        <w:t xml:space="preserve">На продукцию, включенную в Единый перечень продукции, подлежащей обязательной оценке (подтверждению) соответствия в рамках таможенного союза с выдачей единых документов (далее – Единый перечень), по выбору заявителя выдаются сертификаты </w:t>
      </w:r>
      <w:r w:rsidRPr="00145FCB">
        <w:rPr>
          <w:sz w:val="32"/>
          <w:szCs w:val="32"/>
        </w:rPr>
        <w:lastRenderedPageBreak/>
        <w:t>соответствия и оформляются декларации о соответствии по единым формам или сертификаты соответствия и декларации о соответствии согласно национальным законодательствам государств-членов таможенного союза.</w:t>
      </w:r>
    </w:p>
    <w:p w:rsidR="00B652C7" w:rsidRPr="00145FCB" w:rsidRDefault="00B652C7" w:rsidP="00B652C7">
      <w:pPr>
        <w:pStyle w:val="ConsPlusNormal"/>
        <w:widowControl/>
        <w:spacing w:line="360" w:lineRule="auto"/>
        <w:ind w:firstLine="540"/>
        <w:jc w:val="both"/>
        <w:rPr>
          <w:rFonts w:ascii="Times New Roman" w:hAnsi="Times New Roman" w:cs="Times New Roman"/>
          <w:sz w:val="32"/>
          <w:szCs w:val="32"/>
        </w:rPr>
      </w:pPr>
      <w:r w:rsidRPr="00145FCB">
        <w:rPr>
          <w:rFonts w:ascii="Times New Roman" w:hAnsi="Times New Roman" w:cs="Times New Roman"/>
          <w:sz w:val="32"/>
          <w:szCs w:val="32"/>
        </w:rPr>
        <w:t>Оценка (подтверждение) соответствия выпускаемой в обращение продукции требованиям технических регламентов Таможенного союза осуществляется до выпуска ее в обращение.</w:t>
      </w:r>
    </w:p>
    <w:p w:rsidR="005F7DCC" w:rsidRPr="00145FCB" w:rsidRDefault="005F7DCC" w:rsidP="005F7DCC">
      <w:pPr>
        <w:pStyle w:val="a3"/>
        <w:spacing w:before="0" w:beforeAutospacing="0" w:after="0" w:afterAutospacing="0" w:line="360" w:lineRule="auto"/>
        <w:ind w:firstLine="720"/>
        <w:jc w:val="both"/>
        <w:rPr>
          <w:sz w:val="32"/>
          <w:szCs w:val="32"/>
        </w:rPr>
      </w:pPr>
      <w:r w:rsidRPr="00145FCB">
        <w:rPr>
          <w:sz w:val="32"/>
          <w:szCs w:val="32"/>
        </w:rPr>
        <w:t>Срок действия сертификата соответствия, выданного по единой форме и декларации о соответствии на продукцию по единой форме не должен превышать пяти лет.</w:t>
      </w:r>
    </w:p>
    <w:p w:rsidR="00B652C7" w:rsidRDefault="00B652C7" w:rsidP="00B652C7">
      <w:pPr>
        <w:pStyle w:val="a3"/>
        <w:spacing w:before="0" w:beforeAutospacing="0" w:after="0" w:afterAutospacing="0" w:line="360" w:lineRule="auto"/>
        <w:ind w:firstLine="720"/>
        <w:jc w:val="both"/>
        <w:rPr>
          <w:sz w:val="32"/>
          <w:szCs w:val="32"/>
        </w:rPr>
      </w:pPr>
      <w:r w:rsidRPr="00145FCB">
        <w:rPr>
          <w:sz w:val="32"/>
          <w:szCs w:val="32"/>
        </w:rPr>
        <w:t>Продукция, соответствующая требованиям вступивших в силу технических регламентов Таможенного союза, распространяющихся на эту продукцию, и прошедшая установленные техническими регламентами Таможенного союза процедуры оценки (подтверждения) соответствия, маркируется единым знаком обращения продукции на рынке государств - членов Таможенного союза.</w:t>
      </w:r>
    </w:p>
    <w:p w:rsidR="00B652C7" w:rsidRPr="00145FCB" w:rsidRDefault="00B652C7" w:rsidP="003A1FDE">
      <w:pPr>
        <w:pStyle w:val="Default"/>
        <w:spacing w:line="360" w:lineRule="auto"/>
        <w:ind w:firstLine="720"/>
        <w:jc w:val="both"/>
        <w:rPr>
          <w:sz w:val="32"/>
          <w:szCs w:val="32"/>
        </w:rPr>
      </w:pPr>
      <w:r w:rsidRPr="00145FCB">
        <w:rPr>
          <w:sz w:val="32"/>
          <w:szCs w:val="32"/>
        </w:rPr>
        <w:t>Единый знак обращения, свидетельствует о том, что продукция, маркированная им, прошла все установленные в технических регламентах Таможенного союза процедуры оценки (подтверждения) соответствия и соответствует требованиям всех распространяющихся на данную продукцию технических регламентов Таможенного союза.</w:t>
      </w:r>
    </w:p>
    <w:p w:rsidR="00B652C7" w:rsidRPr="00145FCB" w:rsidRDefault="00B652C7" w:rsidP="003A1FDE">
      <w:pPr>
        <w:pStyle w:val="Default"/>
        <w:spacing w:line="360" w:lineRule="auto"/>
        <w:ind w:firstLine="720"/>
        <w:jc w:val="both"/>
        <w:rPr>
          <w:color w:val="auto"/>
          <w:sz w:val="32"/>
          <w:szCs w:val="32"/>
        </w:rPr>
      </w:pPr>
      <w:r w:rsidRPr="00145FCB">
        <w:rPr>
          <w:sz w:val="32"/>
          <w:szCs w:val="32"/>
        </w:rPr>
        <w:t xml:space="preserve">Изображение единого знака обращения продукции представляет собой сочетание трех стилизованных букв «Е», «А» и «С», графически исполненных с применением прямых углов </w:t>
      </w:r>
      <w:r w:rsidRPr="00145FCB">
        <w:rPr>
          <w:sz w:val="32"/>
          <w:szCs w:val="32"/>
        </w:rPr>
        <w:lastRenderedPageBreak/>
        <w:t>имеющих одинаковые высоту и ширину, составляющих точные пропорции квадрата на светлом или на контрастном фоне.</w:t>
      </w:r>
      <w:r>
        <w:rPr>
          <w:sz w:val="32"/>
          <w:szCs w:val="32"/>
        </w:rPr>
        <w:t xml:space="preserve"> </w:t>
      </w:r>
      <w:r w:rsidRPr="00145FCB">
        <w:rPr>
          <w:sz w:val="32"/>
          <w:szCs w:val="32"/>
        </w:rPr>
        <w:t>ЕАС расшифровывается как Евразийское соответствие</w:t>
      </w:r>
    </w:p>
    <w:p w:rsidR="00B652C7" w:rsidRPr="00145FCB" w:rsidRDefault="00B652C7" w:rsidP="00B652C7">
      <w:pPr>
        <w:pStyle w:val="a3"/>
        <w:spacing w:before="0" w:beforeAutospacing="0" w:after="0" w:afterAutospacing="0" w:line="360" w:lineRule="auto"/>
        <w:ind w:firstLine="720"/>
        <w:jc w:val="both"/>
        <w:rPr>
          <w:sz w:val="32"/>
          <w:szCs w:val="32"/>
        </w:rPr>
      </w:pPr>
      <w:r w:rsidRPr="00145FCB">
        <w:rPr>
          <w:sz w:val="32"/>
          <w:szCs w:val="32"/>
        </w:rPr>
        <w:t>Изготовители (поставщики) продукции имеют право маркирования ее единым знаком обращения, если продукция прошла все установленные соответствующим техническим регламентом Таможенного союза процедуры оценки (подтверждения) соответствия на территории любой из Сторон, что подтверждено документами, предусмотренными для соответствующих форм оценки соответствия в Таможенном союзе.</w:t>
      </w:r>
    </w:p>
    <w:p w:rsidR="00B652C7" w:rsidRPr="00145FCB" w:rsidRDefault="00B652C7" w:rsidP="00B652C7">
      <w:pPr>
        <w:pStyle w:val="ConsPlusNormal"/>
        <w:widowControl/>
        <w:spacing w:line="360" w:lineRule="auto"/>
        <w:ind w:firstLine="540"/>
        <w:jc w:val="both"/>
        <w:rPr>
          <w:rFonts w:ascii="Times New Roman" w:hAnsi="Times New Roman" w:cs="Times New Roman"/>
          <w:sz w:val="32"/>
          <w:szCs w:val="32"/>
        </w:rPr>
      </w:pPr>
      <w:proofErr w:type="gramStart"/>
      <w:r w:rsidRPr="00145FCB">
        <w:rPr>
          <w:rFonts w:ascii="Times New Roman" w:hAnsi="Times New Roman" w:cs="Times New Roman"/>
          <w:sz w:val="32"/>
          <w:szCs w:val="32"/>
        </w:rPr>
        <w:t>Оценка (подтверждение) соответствия продукции, устанавливаемая в технических регламентах Таможенного союза, проводится в форме регистрации, испытания, подтверждения соответствия (декларирование соответствия, сертификация), экспертизы и (или) в иной форме.</w:t>
      </w:r>
      <w:proofErr w:type="gramEnd"/>
    </w:p>
    <w:p w:rsidR="00B652C7" w:rsidRPr="00145FCB" w:rsidRDefault="00B652C7" w:rsidP="00B652C7">
      <w:pPr>
        <w:pStyle w:val="ConsPlusNormal"/>
        <w:widowControl/>
        <w:spacing w:line="360" w:lineRule="auto"/>
        <w:ind w:firstLine="540"/>
        <w:jc w:val="both"/>
        <w:rPr>
          <w:rFonts w:ascii="Times New Roman" w:hAnsi="Times New Roman" w:cs="Times New Roman"/>
          <w:sz w:val="32"/>
          <w:szCs w:val="32"/>
        </w:rPr>
      </w:pPr>
      <w:r w:rsidRPr="00145FCB">
        <w:rPr>
          <w:rFonts w:ascii="Times New Roman" w:hAnsi="Times New Roman" w:cs="Times New Roman"/>
          <w:sz w:val="32"/>
          <w:szCs w:val="32"/>
        </w:rPr>
        <w:t>Обязательное подтверждение соответствия продукции требованиям технических регламентов Таможенного союза осуществляется в формах декларирования соответствия или сертификации. Процедуры оценки (подтверждения) соответствия устанавливаются в технических регламентах Таможенного союза на основе типовых схем оценки (подтверждения) соответствия.</w:t>
      </w:r>
    </w:p>
    <w:p w:rsidR="00B652C7" w:rsidRPr="00145FCB" w:rsidRDefault="00B652C7" w:rsidP="00B652C7">
      <w:pPr>
        <w:pStyle w:val="ConsPlusNormal"/>
        <w:widowControl/>
        <w:spacing w:line="360" w:lineRule="auto"/>
        <w:ind w:firstLine="540"/>
        <w:jc w:val="both"/>
        <w:rPr>
          <w:rFonts w:ascii="Times New Roman" w:hAnsi="Times New Roman" w:cs="Times New Roman"/>
          <w:sz w:val="32"/>
          <w:szCs w:val="32"/>
        </w:rPr>
      </w:pPr>
      <w:r w:rsidRPr="00145FCB">
        <w:rPr>
          <w:rFonts w:ascii="Times New Roman" w:hAnsi="Times New Roman" w:cs="Times New Roman"/>
          <w:sz w:val="32"/>
          <w:szCs w:val="32"/>
        </w:rPr>
        <w:t>Применение на добровольной основе международных, региональных стандартов и (или) национальных (государственных) стандартов, включенных в перечень, является достаточным условием соблюдения требований соответствующего технического регламента Таможенного союза.</w:t>
      </w:r>
    </w:p>
    <w:p w:rsidR="00B652C7" w:rsidRPr="00145FCB" w:rsidRDefault="00B652C7" w:rsidP="00B652C7">
      <w:pPr>
        <w:pStyle w:val="ConsPlusNormal"/>
        <w:widowControl/>
        <w:spacing w:line="360" w:lineRule="auto"/>
        <w:ind w:firstLine="540"/>
        <w:jc w:val="both"/>
        <w:rPr>
          <w:rFonts w:ascii="Times New Roman" w:hAnsi="Times New Roman" w:cs="Times New Roman"/>
          <w:sz w:val="32"/>
          <w:szCs w:val="32"/>
        </w:rPr>
      </w:pPr>
      <w:r w:rsidRPr="00145FCB">
        <w:rPr>
          <w:rFonts w:ascii="Times New Roman" w:hAnsi="Times New Roman" w:cs="Times New Roman"/>
          <w:sz w:val="32"/>
          <w:szCs w:val="32"/>
        </w:rPr>
        <w:lastRenderedPageBreak/>
        <w:t>Неприменение стандартов, включенных в указанный перечень, не может рассматриваться как несоблюдение требований технических регламентов Таможенного союза.</w:t>
      </w:r>
    </w:p>
    <w:p w:rsidR="00B652C7" w:rsidRPr="00145FCB" w:rsidRDefault="00B652C7" w:rsidP="00B652C7">
      <w:pPr>
        <w:pStyle w:val="a3"/>
        <w:spacing w:before="0" w:beforeAutospacing="0" w:after="0" w:afterAutospacing="0" w:line="360" w:lineRule="auto"/>
        <w:ind w:firstLine="720"/>
        <w:jc w:val="both"/>
        <w:rPr>
          <w:sz w:val="32"/>
          <w:szCs w:val="32"/>
        </w:rPr>
      </w:pPr>
      <w:r w:rsidRPr="00145FCB">
        <w:rPr>
          <w:sz w:val="32"/>
          <w:szCs w:val="32"/>
        </w:rPr>
        <w:t xml:space="preserve">Доказательной базой для выполнения требований данных технических регламентов будут служить </w:t>
      </w:r>
      <w:r w:rsidRPr="00145FCB">
        <w:rPr>
          <w:rStyle w:val="a4"/>
          <w:b w:val="0"/>
          <w:sz w:val="32"/>
          <w:szCs w:val="32"/>
        </w:rPr>
        <w:t>международные и межгосударственные стандарты</w:t>
      </w:r>
      <w:r w:rsidRPr="00145FCB">
        <w:rPr>
          <w:sz w:val="32"/>
          <w:szCs w:val="32"/>
        </w:rPr>
        <w:t xml:space="preserve">, а в случае, если они еще не приняты, - актуальные национальные стандарты, соответствующие международным требованиям стран </w:t>
      </w:r>
      <w:proofErr w:type="spellStart"/>
      <w:r w:rsidRPr="00145FCB">
        <w:rPr>
          <w:sz w:val="32"/>
          <w:szCs w:val="32"/>
        </w:rPr>
        <w:t>ЕврАзЭС</w:t>
      </w:r>
      <w:proofErr w:type="spellEnd"/>
      <w:r w:rsidRPr="00145FCB">
        <w:rPr>
          <w:sz w:val="32"/>
          <w:szCs w:val="32"/>
        </w:rPr>
        <w:t>.</w:t>
      </w:r>
    </w:p>
    <w:p w:rsidR="00B652C7" w:rsidRPr="00145FCB" w:rsidRDefault="00B652C7" w:rsidP="00B652C7">
      <w:pPr>
        <w:pStyle w:val="ConsPlusNormal"/>
        <w:widowControl/>
        <w:spacing w:line="360" w:lineRule="auto"/>
        <w:ind w:firstLine="540"/>
        <w:jc w:val="both"/>
        <w:rPr>
          <w:rFonts w:ascii="Times New Roman" w:hAnsi="Times New Roman" w:cs="Times New Roman"/>
          <w:sz w:val="32"/>
          <w:szCs w:val="32"/>
        </w:rPr>
      </w:pPr>
      <w:r w:rsidRPr="00145FCB">
        <w:rPr>
          <w:rFonts w:ascii="Times New Roman" w:hAnsi="Times New Roman" w:cs="Times New Roman"/>
          <w:sz w:val="32"/>
          <w:szCs w:val="32"/>
        </w:rPr>
        <w:t>В целях выполнения требований технического регламента Таможенного союза Комиссия Таможенного союза утверждает перечень международных и региональных стандартов, а в случае их отсутствия - национальных (государственных) стандартов Сторон,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B652C7" w:rsidRPr="00145FCB" w:rsidRDefault="00B652C7" w:rsidP="00B652C7">
      <w:pPr>
        <w:pStyle w:val="a3"/>
        <w:spacing w:before="0" w:beforeAutospacing="0" w:after="0" w:afterAutospacing="0" w:line="360" w:lineRule="auto"/>
        <w:ind w:firstLine="720"/>
        <w:jc w:val="both"/>
        <w:rPr>
          <w:sz w:val="32"/>
          <w:szCs w:val="32"/>
        </w:rPr>
      </w:pPr>
      <w:proofErr w:type="gramStart"/>
      <w:r w:rsidRPr="00145FCB">
        <w:rPr>
          <w:sz w:val="32"/>
          <w:szCs w:val="32"/>
        </w:rPr>
        <w:t>В целях проведения исследований (испытаний) и измерений при оценке (подтверждении) соответствия продукции требованиям технического регламента Таможенного союза Комиссия утверждает перечень международных и региональных стандартов, а в случае их отсутствия - национальных (государственных) стандартов Сторон,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принятого технического регламента Таможенного союза и осуществления</w:t>
      </w:r>
      <w:proofErr w:type="gramEnd"/>
      <w:r w:rsidRPr="00145FCB">
        <w:rPr>
          <w:sz w:val="32"/>
          <w:szCs w:val="32"/>
        </w:rPr>
        <w:t xml:space="preserve"> оценки (подтверждения) соответствия продукции.</w:t>
      </w:r>
    </w:p>
    <w:p w:rsidR="00B652C7" w:rsidRPr="00145FCB" w:rsidRDefault="00B652C7" w:rsidP="00B652C7">
      <w:pPr>
        <w:pStyle w:val="ConsPlusNormal"/>
        <w:widowControl/>
        <w:spacing w:line="360" w:lineRule="auto"/>
        <w:ind w:firstLine="540"/>
        <w:jc w:val="both"/>
        <w:rPr>
          <w:rFonts w:ascii="Times New Roman" w:hAnsi="Times New Roman" w:cs="Times New Roman"/>
          <w:sz w:val="32"/>
          <w:szCs w:val="32"/>
        </w:rPr>
      </w:pPr>
      <w:r w:rsidRPr="00145FCB">
        <w:rPr>
          <w:rFonts w:ascii="Times New Roman" w:hAnsi="Times New Roman" w:cs="Times New Roman"/>
          <w:sz w:val="32"/>
          <w:szCs w:val="32"/>
        </w:rPr>
        <w:lastRenderedPageBreak/>
        <w:t>Для целей оценки (подтверждения) соответствия требованиям технического регламента Таможенного союза могут применяться международные, региональные стандарты, а в случае их отсутствия (до принятия региональных стандартов) - национальные (государственные) стандарты Сторон.</w:t>
      </w:r>
    </w:p>
    <w:p w:rsidR="00B652C7" w:rsidRPr="00145FCB" w:rsidRDefault="00B652C7" w:rsidP="00661444">
      <w:pPr>
        <w:spacing w:line="360" w:lineRule="auto"/>
        <w:ind w:firstLine="720"/>
        <w:jc w:val="both"/>
        <w:rPr>
          <w:bCs/>
          <w:sz w:val="32"/>
          <w:szCs w:val="32"/>
        </w:rPr>
      </w:pPr>
      <w:r w:rsidRPr="00145FCB">
        <w:rPr>
          <w:bCs/>
          <w:sz w:val="32"/>
          <w:szCs w:val="32"/>
        </w:rPr>
        <w:t>При формировании Единого перечня продукции, подлежащей обязательной оценке (подтверждению) соответствия в рамках таможенного союза с выдачей единых документов выполняются следующие требования:</w:t>
      </w:r>
    </w:p>
    <w:p w:rsidR="00B652C7" w:rsidRPr="00145FCB" w:rsidRDefault="00B652C7" w:rsidP="00B652C7">
      <w:pPr>
        <w:spacing w:line="360" w:lineRule="auto"/>
        <w:ind w:firstLine="720"/>
        <w:jc w:val="both"/>
        <w:rPr>
          <w:sz w:val="32"/>
          <w:szCs w:val="32"/>
        </w:rPr>
      </w:pPr>
      <w:proofErr w:type="gramStart"/>
      <w:r w:rsidRPr="00145FCB">
        <w:rPr>
          <w:sz w:val="32"/>
          <w:szCs w:val="32"/>
        </w:rPr>
        <w:t>- Уполномоченные органы государств – членов таможенного союза (далее – уполномоченные органы) осуществляют подготовку информации для формирования Единого перечня продукции, подлежащей обязательной оценке (подтверждению) соответствия в рамках таможенного союза с выдачей единых документов (далее – Единый перечень), и направляют в Секретариат Комиссии таможенного союза (далее – Секретариат Комиссии) указанную информацию с приложением копий официально изданных документов, послуживших основанием для включения продукции в Единый перечень.</w:t>
      </w:r>
      <w:proofErr w:type="gramEnd"/>
    </w:p>
    <w:p w:rsidR="00B652C7" w:rsidRPr="00145FCB" w:rsidRDefault="00B652C7" w:rsidP="00B652C7">
      <w:pPr>
        <w:spacing w:line="360" w:lineRule="auto"/>
        <w:ind w:firstLine="720"/>
        <w:jc w:val="both"/>
        <w:rPr>
          <w:sz w:val="32"/>
          <w:szCs w:val="32"/>
        </w:rPr>
      </w:pPr>
      <w:r w:rsidRPr="00145FCB">
        <w:rPr>
          <w:sz w:val="32"/>
          <w:szCs w:val="32"/>
        </w:rPr>
        <w:t>- Секретариат Комиссии в течение десяти дней со дня поступления указанной в пункте 1 настоящего Положения информации от уполномоченных органов, формирует на ее основе проект Единого перечня и направляет его в уполномоченные органы государств участников таможенного союза для согласования.</w:t>
      </w:r>
    </w:p>
    <w:p w:rsidR="00B652C7" w:rsidRPr="00145FCB" w:rsidRDefault="00B652C7" w:rsidP="00B652C7">
      <w:pPr>
        <w:spacing w:line="360" w:lineRule="auto"/>
        <w:ind w:firstLine="720"/>
        <w:jc w:val="both"/>
        <w:rPr>
          <w:sz w:val="32"/>
          <w:szCs w:val="32"/>
        </w:rPr>
      </w:pPr>
      <w:r w:rsidRPr="00145FCB">
        <w:rPr>
          <w:sz w:val="32"/>
          <w:szCs w:val="32"/>
        </w:rPr>
        <w:lastRenderedPageBreak/>
        <w:t>- Уполномоченные органы в течение пятнадцати дней обеспечивают внутригосударственное согласование представленного проекта Единого перечня.</w:t>
      </w:r>
      <w:r w:rsidR="00CD69AA">
        <w:rPr>
          <w:sz w:val="32"/>
          <w:szCs w:val="32"/>
        </w:rPr>
        <w:t xml:space="preserve"> </w:t>
      </w:r>
      <w:r w:rsidRPr="00145FCB">
        <w:rPr>
          <w:sz w:val="32"/>
          <w:szCs w:val="32"/>
        </w:rPr>
        <w:t>Согласованный государствами – членами таможенного союза проект Единого перечня утверждается решением Комиссии таможенного союза.</w:t>
      </w:r>
    </w:p>
    <w:p w:rsidR="00B652C7" w:rsidRPr="00145FCB" w:rsidRDefault="00B652C7" w:rsidP="00B652C7">
      <w:pPr>
        <w:spacing w:line="360" w:lineRule="auto"/>
        <w:ind w:firstLine="720"/>
        <w:jc w:val="both"/>
        <w:rPr>
          <w:sz w:val="32"/>
          <w:szCs w:val="32"/>
        </w:rPr>
      </w:pPr>
      <w:r w:rsidRPr="00145FCB">
        <w:rPr>
          <w:sz w:val="32"/>
          <w:szCs w:val="32"/>
        </w:rPr>
        <w:t>- Единый перечень в пятидневный срок со дня его утверждения, опубликовывается на официальном сайте в сети Интернет таможенного союза, официальных сайтах в сети Интернет уполномоченных органов.</w:t>
      </w:r>
    </w:p>
    <w:p w:rsidR="00B652C7" w:rsidRPr="00145FCB" w:rsidRDefault="00B652C7" w:rsidP="00B652C7">
      <w:pPr>
        <w:spacing w:line="360" w:lineRule="auto"/>
        <w:ind w:firstLine="720"/>
        <w:jc w:val="both"/>
        <w:rPr>
          <w:sz w:val="32"/>
          <w:szCs w:val="32"/>
        </w:rPr>
      </w:pPr>
      <w:r w:rsidRPr="00145FCB">
        <w:rPr>
          <w:sz w:val="32"/>
          <w:szCs w:val="32"/>
        </w:rPr>
        <w:t>- При необходимости внесения в Единый перечень изменений, уполномоченные органы направляют в Секретариат Комиссии предложения о внесении изменений в Единый перечень с обоснованием необходимости таких изменений.</w:t>
      </w:r>
    </w:p>
    <w:p w:rsidR="00B652C7" w:rsidRPr="00145FCB" w:rsidRDefault="00B652C7" w:rsidP="00B652C7">
      <w:pPr>
        <w:spacing w:line="360" w:lineRule="auto"/>
        <w:ind w:firstLine="720"/>
        <w:jc w:val="both"/>
        <w:rPr>
          <w:sz w:val="32"/>
          <w:szCs w:val="32"/>
        </w:rPr>
      </w:pPr>
      <w:r w:rsidRPr="00145FCB">
        <w:rPr>
          <w:sz w:val="32"/>
          <w:szCs w:val="32"/>
        </w:rPr>
        <w:t>- Секретариат Комиссии организует работу по согласованию с уполномоченными органами  проекта изменений в Единый перечень.</w:t>
      </w:r>
    </w:p>
    <w:p w:rsidR="00B652C7" w:rsidRPr="00145FCB" w:rsidRDefault="00B652C7" w:rsidP="00B652C7">
      <w:pPr>
        <w:spacing w:line="360" w:lineRule="auto"/>
        <w:ind w:firstLine="720"/>
        <w:jc w:val="both"/>
        <w:rPr>
          <w:sz w:val="32"/>
          <w:szCs w:val="32"/>
        </w:rPr>
      </w:pPr>
      <w:r w:rsidRPr="00145FCB">
        <w:rPr>
          <w:sz w:val="32"/>
          <w:szCs w:val="32"/>
        </w:rPr>
        <w:t>- Согласованный уполномоченными органами проект изменений утверждается решением Комиссии таможенного союза, в пятидневный срок со дня утверждения Комиссией таможенного союза опубликовывается на официальном сайте в сети Интернет таможенного союза, официальных сайтах в сети Интернет уполномоченных органов.</w:t>
      </w:r>
    </w:p>
    <w:p w:rsidR="00B652C7" w:rsidRDefault="00B652C7" w:rsidP="00B652C7">
      <w:pPr>
        <w:spacing w:line="360" w:lineRule="auto"/>
        <w:ind w:firstLine="720"/>
        <w:jc w:val="both"/>
        <w:rPr>
          <w:sz w:val="32"/>
          <w:szCs w:val="32"/>
        </w:rPr>
      </w:pPr>
      <w:r w:rsidRPr="00145FCB">
        <w:rPr>
          <w:sz w:val="32"/>
          <w:szCs w:val="32"/>
        </w:rPr>
        <w:t xml:space="preserve">Вопросы пожарной безопасности в части строительной продукции затрагивают несколько проектов технических регламентов Таможенного союза. </w:t>
      </w:r>
      <w:r w:rsidRPr="003A1FDE">
        <w:rPr>
          <w:color w:val="000000"/>
          <w:sz w:val="32"/>
          <w:szCs w:val="32"/>
        </w:rPr>
        <w:t xml:space="preserve">Для публичного обсуждения уже подготовлены проекты технических регламентов Таможенного </w:t>
      </w:r>
      <w:r w:rsidRPr="003A1FDE">
        <w:rPr>
          <w:color w:val="000000"/>
          <w:sz w:val="32"/>
          <w:szCs w:val="32"/>
        </w:rPr>
        <w:lastRenderedPageBreak/>
        <w:t>союза, содержащие требования пожарной безопасности</w:t>
      </w:r>
      <w:r w:rsidR="003A1FDE" w:rsidRPr="003A1FDE">
        <w:rPr>
          <w:color w:val="000000"/>
          <w:sz w:val="32"/>
          <w:szCs w:val="32"/>
        </w:rPr>
        <w:t>.</w:t>
      </w:r>
      <w:r w:rsidRPr="00145FCB">
        <w:rPr>
          <w:sz w:val="32"/>
          <w:szCs w:val="32"/>
        </w:rPr>
        <w:t xml:space="preserve"> Учитывая сжатые сроки обсуждения и то, что проекты технических регламентов разрабатываются разными федеральными органами исполнительной власти, в дальнейшем не исключены разночтения в требованиях к одной и той же продукции</w:t>
      </w:r>
      <w:r>
        <w:rPr>
          <w:sz w:val="32"/>
          <w:szCs w:val="32"/>
        </w:rPr>
        <w:t xml:space="preserve"> разных технических регламентов</w:t>
      </w:r>
      <w:r w:rsidRPr="00145FCB">
        <w:rPr>
          <w:sz w:val="32"/>
          <w:szCs w:val="32"/>
        </w:rPr>
        <w:t>. Поэтому сейчас необходим документ, устанавливающий единые требования пожарной безопасности как к продукции общего назначения, так к пожарно-технической продукции.</w:t>
      </w:r>
    </w:p>
    <w:p w:rsidR="00B652C7" w:rsidRDefault="00B652C7" w:rsidP="00B652C7">
      <w:pPr>
        <w:spacing w:line="360" w:lineRule="auto"/>
        <w:ind w:firstLine="709"/>
        <w:jc w:val="both"/>
        <w:rPr>
          <w:sz w:val="32"/>
          <w:szCs w:val="32"/>
        </w:rPr>
      </w:pPr>
      <w:proofErr w:type="gramStart"/>
      <w:r w:rsidRPr="00145FCB">
        <w:rPr>
          <w:sz w:val="32"/>
          <w:szCs w:val="32"/>
        </w:rPr>
        <w:t>Технический регламент Таможенного союза</w:t>
      </w:r>
      <w:r w:rsidRPr="00145FCB">
        <w:rPr>
          <w:caps/>
          <w:sz w:val="32"/>
          <w:szCs w:val="32"/>
        </w:rPr>
        <w:t xml:space="preserve"> </w:t>
      </w:r>
      <w:r w:rsidRPr="00145FCB">
        <w:rPr>
          <w:sz w:val="32"/>
          <w:szCs w:val="32"/>
        </w:rPr>
        <w:t>«О требованиях пожарной безопасности к продукции»</w:t>
      </w:r>
      <w:r w:rsidRPr="00145FCB">
        <w:rPr>
          <w:b/>
          <w:caps/>
          <w:sz w:val="32"/>
          <w:szCs w:val="32"/>
        </w:rPr>
        <w:t xml:space="preserve"> </w:t>
      </w:r>
      <w:r w:rsidRPr="00145FCB">
        <w:rPr>
          <w:sz w:val="32"/>
          <w:szCs w:val="32"/>
        </w:rPr>
        <w:t>разработанный в целях защиты жизни и здоровья граждан от пожаров и предупреждения действий, вводящих в заблуждение потребителей, у</w:t>
      </w:r>
      <w:r w:rsidRPr="00145FCB">
        <w:rPr>
          <w:sz w:val="32"/>
          <w:szCs w:val="32"/>
        </w:rPr>
        <w:t>с</w:t>
      </w:r>
      <w:r w:rsidRPr="00145FCB">
        <w:rPr>
          <w:sz w:val="32"/>
          <w:szCs w:val="32"/>
        </w:rPr>
        <w:t>танавливает общие требования пожарной безопасности к объектам защиты (продукции), в том числе, пожа</w:t>
      </w:r>
      <w:r w:rsidRPr="00145FCB">
        <w:rPr>
          <w:sz w:val="32"/>
          <w:szCs w:val="32"/>
        </w:rPr>
        <w:t>р</w:t>
      </w:r>
      <w:r w:rsidRPr="00145FCB">
        <w:rPr>
          <w:sz w:val="32"/>
          <w:szCs w:val="32"/>
        </w:rPr>
        <w:t>но-технической продукции и продукции общего назначения и связанным с требованиями к продукции процессам производства, монтажа, наладки,</w:t>
      </w:r>
      <w:proofErr w:type="gramEnd"/>
      <w:r w:rsidRPr="00145FCB">
        <w:rPr>
          <w:sz w:val="32"/>
          <w:szCs w:val="32"/>
        </w:rPr>
        <w:t xml:space="preserve"> </w:t>
      </w:r>
      <w:proofErr w:type="gramStart"/>
      <w:r w:rsidRPr="00145FCB">
        <w:rPr>
          <w:sz w:val="32"/>
          <w:szCs w:val="32"/>
        </w:rPr>
        <w:t>эксплуатации (использования), хранения, перевозки (транспортирования), реализации и утилизации, а также правила идентификации, формы, схемы и процедуры оценки (подтверждения) соответствия, требования к терминологии, упаковке, маркировке, этикеткам и правилам их нанесения.</w:t>
      </w:r>
      <w:proofErr w:type="gramEnd"/>
    </w:p>
    <w:p w:rsidR="00B652C7" w:rsidRPr="00145FCB" w:rsidRDefault="00B652C7" w:rsidP="00B652C7">
      <w:pPr>
        <w:spacing w:line="360" w:lineRule="auto"/>
        <w:ind w:firstLine="709"/>
        <w:jc w:val="both"/>
        <w:rPr>
          <w:sz w:val="32"/>
          <w:szCs w:val="32"/>
        </w:rPr>
      </w:pPr>
      <w:r w:rsidRPr="00145FCB">
        <w:rPr>
          <w:sz w:val="32"/>
          <w:szCs w:val="32"/>
        </w:rPr>
        <w:t>Данный технический регламент устанавливает классификацию</w:t>
      </w:r>
      <w:r>
        <w:rPr>
          <w:sz w:val="32"/>
          <w:szCs w:val="32"/>
        </w:rPr>
        <w:t xml:space="preserve"> и требования ко всем необходимым видам</w:t>
      </w:r>
      <w:r w:rsidRPr="00145FCB">
        <w:rPr>
          <w:sz w:val="32"/>
          <w:szCs w:val="32"/>
        </w:rPr>
        <w:t xml:space="preserve"> продукции</w:t>
      </w:r>
      <w:r>
        <w:rPr>
          <w:sz w:val="32"/>
          <w:szCs w:val="32"/>
        </w:rPr>
        <w:t>, таким как</w:t>
      </w:r>
      <w:r w:rsidRPr="00145FCB">
        <w:rPr>
          <w:sz w:val="32"/>
          <w:szCs w:val="32"/>
        </w:rPr>
        <w:t>:</w:t>
      </w:r>
    </w:p>
    <w:p w:rsidR="00B652C7" w:rsidRPr="00145FCB" w:rsidRDefault="00B652C7" w:rsidP="00B652C7">
      <w:pPr>
        <w:spacing w:line="360" w:lineRule="auto"/>
        <w:ind w:firstLine="709"/>
        <w:jc w:val="both"/>
        <w:rPr>
          <w:sz w:val="32"/>
          <w:szCs w:val="32"/>
        </w:rPr>
      </w:pPr>
      <w:r w:rsidRPr="00145FCB">
        <w:rPr>
          <w:sz w:val="32"/>
          <w:szCs w:val="32"/>
        </w:rPr>
        <w:lastRenderedPageBreak/>
        <w:t>- вещества и материалы (за исключением строительных, текстильных и кожевенных материалов);</w:t>
      </w:r>
    </w:p>
    <w:p w:rsidR="00B652C7" w:rsidRPr="00145FCB" w:rsidRDefault="00B652C7" w:rsidP="00B652C7">
      <w:pPr>
        <w:spacing w:line="360" w:lineRule="auto"/>
        <w:ind w:firstLine="709"/>
        <w:jc w:val="both"/>
        <w:rPr>
          <w:sz w:val="32"/>
          <w:szCs w:val="32"/>
        </w:rPr>
      </w:pPr>
      <w:r w:rsidRPr="00145FCB">
        <w:rPr>
          <w:sz w:val="32"/>
          <w:szCs w:val="32"/>
        </w:rPr>
        <w:t xml:space="preserve">- </w:t>
      </w:r>
      <w:proofErr w:type="gramStart"/>
      <w:r w:rsidRPr="00145FCB">
        <w:rPr>
          <w:sz w:val="32"/>
          <w:szCs w:val="32"/>
        </w:rPr>
        <w:t>строительные</w:t>
      </w:r>
      <w:proofErr w:type="gramEnd"/>
      <w:r w:rsidRPr="00145FCB">
        <w:rPr>
          <w:sz w:val="32"/>
          <w:szCs w:val="32"/>
        </w:rPr>
        <w:t>, текстильные и кожевенные материалов;</w:t>
      </w:r>
    </w:p>
    <w:p w:rsidR="00B652C7" w:rsidRPr="00145FCB" w:rsidRDefault="00B652C7" w:rsidP="00B652C7">
      <w:pPr>
        <w:spacing w:line="360" w:lineRule="auto"/>
        <w:ind w:firstLine="709"/>
        <w:jc w:val="both"/>
        <w:rPr>
          <w:sz w:val="32"/>
          <w:szCs w:val="32"/>
        </w:rPr>
      </w:pPr>
      <w:r w:rsidRPr="00145FCB">
        <w:rPr>
          <w:sz w:val="32"/>
          <w:szCs w:val="32"/>
        </w:rPr>
        <w:t>- электрооборудование и электротехническая продукция;</w:t>
      </w:r>
    </w:p>
    <w:p w:rsidR="00B652C7" w:rsidRPr="00145FCB" w:rsidRDefault="00B652C7" w:rsidP="00B652C7">
      <w:pPr>
        <w:spacing w:line="360" w:lineRule="auto"/>
        <w:ind w:firstLine="709"/>
        <w:jc w:val="both"/>
        <w:rPr>
          <w:sz w:val="32"/>
          <w:szCs w:val="32"/>
        </w:rPr>
      </w:pPr>
      <w:r w:rsidRPr="00145FCB">
        <w:rPr>
          <w:sz w:val="32"/>
          <w:szCs w:val="32"/>
        </w:rPr>
        <w:t>- здания, сооружения и помещения;</w:t>
      </w:r>
    </w:p>
    <w:p w:rsidR="00B652C7" w:rsidRPr="00145FCB" w:rsidRDefault="00B652C7" w:rsidP="00B652C7">
      <w:pPr>
        <w:spacing w:line="360" w:lineRule="auto"/>
        <w:ind w:firstLine="709"/>
        <w:jc w:val="both"/>
        <w:rPr>
          <w:sz w:val="32"/>
          <w:szCs w:val="32"/>
        </w:rPr>
      </w:pPr>
      <w:r w:rsidRPr="00145FCB">
        <w:rPr>
          <w:sz w:val="32"/>
          <w:szCs w:val="32"/>
        </w:rPr>
        <w:t>- строительные ко</w:t>
      </w:r>
      <w:r w:rsidRPr="00145FCB">
        <w:rPr>
          <w:sz w:val="32"/>
          <w:szCs w:val="32"/>
        </w:rPr>
        <w:t>н</w:t>
      </w:r>
      <w:r w:rsidRPr="00145FCB">
        <w:rPr>
          <w:sz w:val="32"/>
          <w:szCs w:val="32"/>
        </w:rPr>
        <w:t>струкции и противопожарные преграды;</w:t>
      </w:r>
    </w:p>
    <w:p w:rsidR="00B652C7" w:rsidRDefault="00B652C7" w:rsidP="00B652C7">
      <w:pPr>
        <w:spacing w:line="360" w:lineRule="auto"/>
        <w:ind w:firstLine="720"/>
        <w:jc w:val="both"/>
        <w:rPr>
          <w:sz w:val="32"/>
          <w:szCs w:val="32"/>
        </w:rPr>
      </w:pPr>
      <w:r w:rsidRPr="00145FCB">
        <w:rPr>
          <w:sz w:val="32"/>
          <w:szCs w:val="32"/>
        </w:rPr>
        <w:t>- средства обеспечения пожарной безопасности</w:t>
      </w:r>
      <w:r>
        <w:rPr>
          <w:sz w:val="32"/>
          <w:szCs w:val="32"/>
        </w:rPr>
        <w:t>.</w:t>
      </w:r>
    </w:p>
    <w:p w:rsidR="00B652C7" w:rsidRPr="00145FCB" w:rsidRDefault="00B652C7" w:rsidP="00B652C7">
      <w:pPr>
        <w:pStyle w:val="a3"/>
        <w:spacing w:before="0" w:beforeAutospacing="0" w:after="0" w:afterAutospacing="0" w:line="360" w:lineRule="auto"/>
        <w:ind w:firstLine="720"/>
        <w:jc w:val="both"/>
        <w:rPr>
          <w:sz w:val="32"/>
          <w:szCs w:val="32"/>
        </w:rPr>
      </w:pPr>
      <w:proofErr w:type="gramStart"/>
      <w:r w:rsidRPr="00145FCB">
        <w:rPr>
          <w:sz w:val="32"/>
          <w:szCs w:val="32"/>
        </w:rPr>
        <w:t>Таким образом, в целях организации обеспечения пожарной безопасности на территориях государств – участников Таможенного союза необходимо выполнить два условия: принять Технический регламент Таможенного союза</w:t>
      </w:r>
      <w:r w:rsidRPr="00145FCB">
        <w:rPr>
          <w:caps/>
          <w:sz w:val="32"/>
          <w:szCs w:val="32"/>
        </w:rPr>
        <w:t xml:space="preserve"> </w:t>
      </w:r>
      <w:r w:rsidRPr="00145FCB">
        <w:rPr>
          <w:sz w:val="32"/>
          <w:szCs w:val="32"/>
        </w:rPr>
        <w:t xml:space="preserve">«О требованиях пожарной безопасности к продукции» и внести соответствующую продукцию в </w:t>
      </w:r>
      <w:r w:rsidRPr="00145FCB">
        <w:rPr>
          <w:bCs/>
          <w:sz w:val="32"/>
          <w:szCs w:val="32"/>
        </w:rPr>
        <w:t>Единого перечня продукции, подлежащей обязательной оценке (подтверждению) соответствия в рамках таможенного союза с выдачей единых документов</w:t>
      </w:r>
      <w:proofErr w:type="gramEnd"/>
    </w:p>
    <w:p w:rsidR="003C5FBB" w:rsidRDefault="003C5FBB"/>
    <w:sectPr w:rsidR="003C5F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5F7DCC"/>
    <w:rsid w:val="002E6ADA"/>
    <w:rsid w:val="00324175"/>
    <w:rsid w:val="003A1FDE"/>
    <w:rsid w:val="003C5FBB"/>
    <w:rsid w:val="004477E9"/>
    <w:rsid w:val="00581CE1"/>
    <w:rsid w:val="00595FD9"/>
    <w:rsid w:val="00597FB8"/>
    <w:rsid w:val="005F7DCC"/>
    <w:rsid w:val="00661444"/>
    <w:rsid w:val="007C091C"/>
    <w:rsid w:val="008F5499"/>
    <w:rsid w:val="00997D62"/>
    <w:rsid w:val="00AC4530"/>
    <w:rsid w:val="00B652C7"/>
    <w:rsid w:val="00CD69AA"/>
    <w:rsid w:val="00F82083"/>
    <w:rsid w:val="00FB76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581CE1"/>
    <w:pPr>
      <w:spacing w:before="100" w:beforeAutospacing="1" w:after="100" w:afterAutospacing="1"/>
      <w:outlineLvl w:val="0"/>
    </w:pPr>
    <w:rPr>
      <w:b/>
      <w:bCs/>
      <w:kern w:val="36"/>
      <w:sz w:val="48"/>
      <w:szCs w:val="48"/>
    </w:rPr>
  </w:style>
  <w:style w:type="character" w:default="1" w:styleId="a0">
    <w:name w:val="Default Paragraph Font"/>
    <w:link w:val="CharChar2"/>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Char2">
    <w:name w:val="Char Char2 Знак"/>
    <w:basedOn w:val="a"/>
    <w:link w:val="a0"/>
    <w:rsid w:val="005F7DCC"/>
    <w:pPr>
      <w:spacing w:before="100" w:beforeAutospacing="1" w:after="100" w:afterAutospacing="1" w:line="360" w:lineRule="auto"/>
      <w:ind w:firstLine="709"/>
      <w:jc w:val="both"/>
    </w:pPr>
    <w:rPr>
      <w:sz w:val="26"/>
      <w:szCs w:val="26"/>
      <w:lang w:val="en-US" w:eastAsia="en-US"/>
    </w:rPr>
  </w:style>
  <w:style w:type="paragraph" w:styleId="a3">
    <w:name w:val="Normal (Web)"/>
    <w:basedOn w:val="a"/>
    <w:rsid w:val="005F7DCC"/>
    <w:pPr>
      <w:spacing w:before="100" w:beforeAutospacing="1" w:after="100" w:afterAutospacing="1"/>
    </w:pPr>
  </w:style>
  <w:style w:type="character" w:styleId="a4">
    <w:name w:val="Strong"/>
    <w:basedOn w:val="a0"/>
    <w:qFormat/>
    <w:rsid w:val="005F7DCC"/>
    <w:rPr>
      <w:b/>
      <w:bCs/>
    </w:rPr>
  </w:style>
  <w:style w:type="paragraph" w:customStyle="1" w:styleId="ConsPlusNormal">
    <w:name w:val="ConsPlusNormal"/>
    <w:rsid w:val="005F7DCC"/>
    <w:pPr>
      <w:widowControl w:val="0"/>
      <w:autoSpaceDE w:val="0"/>
      <w:autoSpaceDN w:val="0"/>
      <w:adjustRightInd w:val="0"/>
      <w:ind w:firstLine="720"/>
    </w:pPr>
    <w:rPr>
      <w:rFonts w:ascii="Arial" w:hAnsi="Arial" w:cs="Arial"/>
    </w:rPr>
  </w:style>
  <w:style w:type="paragraph" w:customStyle="1" w:styleId="Default">
    <w:name w:val="Default"/>
    <w:rsid w:val="005F7DCC"/>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2281</Words>
  <Characters>13006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Действующая в настоящее время европейская система технического регулирования складывалась на протяжении почти сорока лет</vt:lpstr>
    </vt:vector>
  </TitlesOfParts>
  <Company>Organization</Company>
  <LinksUpToDate>false</LinksUpToDate>
  <CharactersWithSpaces>15257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Действующая в настоящее время европейская система технического регулирования складывалась на протяжении почти сорока лет</dc:title>
  <dc:subject/>
  <dc:creator>rusyaev</dc:creator>
  <cp:keywords/>
  <dc:description/>
  <cp:lastModifiedBy>BludyanMA</cp:lastModifiedBy>
  <cp:revision>2</cp:revision>
  <cp:lastPrinted>2011-09-22T07:16:00Z</cp:lastPrinted>
  <dcterms:created xsi:type="dcterms:W3CDTF">2011-10-14T17:04:00Z</dcterms:created>
  <dcterms:modified xsi:type="dcterms:W3CDTF">2011-10-14T17:04:00Z</dcterms:modified>
</cp:coreProperties>
</file>